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1AFE" w14:textId="77777777" w:rsidR="004F2E22" w:rsidRPr="00A61E58" w:rsidRDefault="00A61E58" w:rsidP="004F2E22">
      <w:pPr>
        <w:pStyle w:val="NoSpacing"/>
        <w:rPr>
          <w:rFonts w:ascii="Arial" w:hAnsi="Arial" w:cs="Arial"/>
          <w:b/>
          <w:bCs/>
          <w:sz w:val="28"/>
          <w:szCs w:val="24"/>
        </w:rPr>
      </w:pPr>
      <w:r w:rsidRPr="00A61E58">
        <w:rPr>
          <w:rFonts w:ascii="Arial" w:hAnsi="Arial" w:cs="Arial"/>
          <w:b/>
          <w:bCs/>
          <w:sz w:val="28"/>
          <w:szCs w:val="24"/>
        </w:rPr>
        <w:t>NE ALLOYS PROJECT REVIEW</w:t>
      </w:r>
    </w:p>
    <w:p w14:paraId="1A2B60B0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</w:p>
    <w:p w14:paraId="0D28EE52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Attendees:</w:t>
      </w:r>
    </w:p>
    <w:p w14:paraId="764B83F9" w14:textId="77777777" w:rsidR="00A61E58" w:rsidRPr="00A61E58" w:rsidRDefault="00A61E58" w:rsidP="004F2E22">
      <w:pPr>
        <w:pStyle w:val="NoSpacing"/>
        <w:rPr>
          <w:rFonts w:ascii="Arial" w:hAnsi="Arial" w:cs="Arial"/>
          <w:sz w:val="24"/>
          <w:u w:val="single"/>
        </w:rPr>
      </w:pPr>
      <w:r w:rsidRPr="00A61E58">
        <w:rPr>
          <w:rFonts w:ascii="Arial" w:hAnsi="Arial" w:cs="Arial"/>
          <w:sz w:val="24"/>
          <w:u w:val="single"/>
        </w:rPr>
        <w:t>NYSDEC Central Office</w:t>
      </w:r>
      <w:r w:rsidRPr="00A61E58">
        <w:rPr>
          <w:rFonts w:ascii="Arial" w:hAnsi="Arial" w:cs="Arial"/>
          <w:sz w:val="24"/>
        </w:rPr>
        <w:tab/>
      </w:r>
      <w:r w:rsidRPr="00A61E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NYSDEC R6</w:t>
      </w:r>
      <w:r w:rsidRPr="00A61E58">
        <w:rPr>
          <w:rFonts w:ascii="Arial" w:hAnsi="Arial" w:cs="Arial"/>
          <w:sz w:val="24"/>
        </w:rPr>
        <w:tab/>
      </w:r>
      <w:r w:rsidRPr="00A61E58">
        <w:rPr>
          <w:rFonts w:ascii="Arial" w:hAnsi="Arial" w:cs="Arial"/>
          <w:sz w:val="24"/>
        </w:rPr>
        <w:tab/>
      </w:r>
      <w:r w:rsidRPr="00A61E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AECOM</w:t>
      </w:r>
    </w:p>
    <w:p w14:paraId="4A12CC89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Michael Cruden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Rachel Gardner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Lindsay Mitchell</w:t>
      </w:r>
    </w:p>
    <w:p w14:paraId="4E3D7EF5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Jeffrey Dyber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Kelly Hale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Daniel Servetas</w:t>
      </w:r>
    </w:p>
    <w:p w14:paraId="283C5905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David Harrington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Peter Taylor</w:t>
      </w:r>
    </w:p>
    <w:p w14:paraId="2E2FCA64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Payson Long</w:t>
      </w:r>
    </w:p>
    <w:p w14:paraId="7A74334B" w14:textId="77777777" w:rsidR="00A61E58" w:rsidRPr="00E17AFF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Bill Ottaway</w:t>
      </w:r>
    </w:p>
    <w:p w14:paraId="56E0C3B3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</w:p>
    <w:p w14:paraId="07C082D2" w14:textId="77777777" w:rsidR="00A61E58" w:rsidRDefault="00A61E58" w:rsidP="00355A5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brief summary presentation on the site was provided by AECOM. Following the presentation, DEC discussed the overall goal for the site. </w:t>
      </w:r>
      <w:r w:rsidR="00863CA0">
        <w:rPr>
          <w:rFonts w:ascii="Arial" w:hAnsi="Arial" w:cs="Arial"/>
          <w:sz w:val="24"/>
        </w:rPr>
        <w:t xml:space="preserve">Since remediating the site to meet the Protection of Groundwater SCOs is not very feasible, the focus should be on </w:t>
      </w:r>
      <w:r w:rsidR="00355A57">
        <w:rPr>
          <w:rFonts w:ascii="Arial" w:hAnsi="Arial" w:cs="Arial"/>
          <w:sz w:val="24"/>
        </w:rPr>
        <w:t>r</w:t>
      </w:r>
      <w:r w:rsidR="00863CA0">
        <w:rPr>
          <w:rFonts w:ascii="Arial" w:hAnsi="Arial" w:cs="Arial"/>
          <w:sz w:val="24"/>
        </w:rPr>
        <w:t>emoving the two CVOC source areas</w:t>
      </w:r>
      <w:r w:rsidR="00355A57">
        <w:rPr>
          <w:rFonts w:ascii="Arial" w:hAnsi="Arial" w:cs="Arial"/>
          <w:sz w:val="24"/>
        </w:rPr>
        <w:t xml:space="preserve"> as much as possible to reduce the need for long-term O&amp;M such that contaminated groundwater is not </w:t>
      </w:r>
      <w:r w:rsidR="00863CA0">
        <w:rPr>
          <w:rFonts w:ascii="Arial" w:hAnsi="Arial" w:cs="Arial"/>
          <w:sz w:val="24"/>
        </w:rPr>
        <w:t>leaving the site</w:t>
      </w:r>
      <w:r w:rsidR="00355A57">
        <w:rPr>
          <w:rFonts w:ascii="Arial" w:hAnsi="Arial" w:cs="Arial"/>
          <w:sz w:val="24"/>
        </w:rPr>
        <w:t xml:space="preserve"> and natural biodegradation is limiting the CVOC plume to the site</w:t>
      </w:r>
      <w:r w:rsidR="00863CA0">
        <w:rPr>
          <w:rFonts w:ascii="Arial" w:hAnsi="Arial" w:cs="Arial"/>
          <w:sz w:val="24"/>
        </w:rPr>
        <w:t xml:space="preserve">  </w:t>
      </w:r>
    </w:p>
    <w:p w14:paraId="7F676F21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</w:p>
    <w:p w14:paraId="3E1F31B6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Actions Items: </w:t>
      </w:r>
    </w:p>
    <w:p w14:paraId="4DC2DC2C" w14:textId="77777777" w:rsidR="00A61E58" w:rsidRDefault="00A61E58" w:rsidP="00A61E5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Shutdown of Groundwater Collection Trench (GCT) system and monitor groundwater elevations and VOC/EC concentrations</w:t>
      </w:r>
    </w:p>
    <w:p w14:paraId="478561A5" w14:textId="77777777" w:rsidR="00A61E58" w:rsidRDefault="00A61E58" w:rsidP="00A61E58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AECOM should confirm with current property owner/occupant that SSDS installed in onsite building is active and properly maintained</w:t>
      </w:r>
      <w:r w:rsidR="00863CA0">
        <w:rPr>
          <w:rFonts w:ascii="Arial" w:hAnsi="Arial" w:cs="Arial"/>
          <w:sz w:val="24"/>
        </w:rPr>
        <w:t xml:space="preserve"> prior to shutting down the GCT system</w:t>
      </w:r>
    </w:p>
    <w:p w14:paraId="62FFD2BA" w14:textId="77777777" w:rsidR="00A61E58" w:rsidRDefault="00A61E58" w:rsidP="00A61E58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 recommends holding off the regularly scheduled groundwater sampling until after the GCT system has been shut off and stabilized</w:t>
      </w:r>
    </w:p>
    <w:p w14:paraId="0B4416F8" w14:textId="0A4B6F88" w:rsidR="00897A6F" w:rsidRDefault="001A6A8C" w:rsidP="00A61E58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Next groundwater sampling round should include ___ (Bill mentioned maybe ISCO parameters for evaluating alternatives?) in addition to the typical parameters. </w:t>
      </w:r>
    </w:p>
    <w:p w14:paraId="51529C40" w14:textId="77777777" w:rsidR="001A6A8C" w:rsidRDefault="001A6A8C" w:rsidP="001A6A8C">
      <w:pPr>
        <w:pStyle w:val="NoSpacing"/>
        <w:ind w:left="1440"/>
        <w:rPr>
          <w:rFonts w:ascii="Arial" w:hAnsi="Arial" w:cs="Arial"/>
          <w:sz w:val="24"/>
        </w:rPr>
      </w:pPr>
    </w:p>
    <w:p w14:paraId="4E31E310" w14:textId="77777777" w:rsidR="00A61E58" w:rsidRDefault="00A61E58" w:rsidP="00A61E58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AECOM should continue to work on revisions for FFS</w:t>
      </w:r>
    </w:p>
    <w:p w14:paraId="6AE0B4C7" w14:textId="77777777" w:rsidR="00A61E58" w:rsidRDefault="00A61E58" w:rsidP="00A61E58">
      <w:pPr>
        <w:pStyle w:val="NoSpacing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Alternatives to consider should focus on reducing/removing the two CVOC hot spot areas</w:t>
      </w:r>
      <w:r w:rsidR="00863CA0">
        <w:rPr>
          <w:rFonts w:ascii="Arial" w:hAnsi="Arial" w:cs="Arial"/>
          <w:sz w:val="24"/>
        </w:rPr>
        <w:t xml:space="preserve">. DEC staff brought up some possible alternatives for AECOM to consider/explore including: </w:t>
      </w:r>
    </w:p>
    <w:p w14:paraId="49841993" w14:textId="77777777" w:rsidR="00863CA0" w:rsidRDefault="00863CA0" w:rsidP="00863CA0">
      <w:pPr>
        <w:pStyle w:val="NoSpacing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</w:t>
      </w:r>
      <w:bookmarkStart w:id="0" w:name="_GoBack"/>
      <w:bookmarkEnd w:id="0"/>
      <w:r>
        <w:rPr>
          <w:rFonts w:ascii="Arial" w:hAnsi="Arial" w:cs="Arial"/>
          <w:sz w:val="24"/>
        </w:rPr>
        <w:t>cused excavation of 2 hot spot areas</w:t>
      </w:r>
    </w:p>
    <w:p w14:paraId="6BD5E9CD" w14:textId="1E18555E" w:rsidR="00863CA0" w:rsidRDefault="00897A6F" w:rsidP="00863CA0">
      <w:pPr>
        <w:pStyle w:val="NoSpacing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1A6A8C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situ </w:t>
      </w:r>
      <w:r>
        <w:rPr>
          <w:rFonts w:ascii="Arial" w:hAnsi="Arial" w:cs="Arial"/>
          <w:sz w:val="24"/>
        </w:rPr>
        <w:t>s</w:t>
      </w:r>
      <w:r w:rsidR="00863CA0">
        <w:rPr>
          <w:rFonts w:ascii="Arial" w:hAnsi="Arial" w:cs="Arial"/>
          <w:sz w:val="24"/>
        </w:rPr>
        <w:t>oil mixing</w:t>
      </w:r>
      <w:r>
        <w:rPr>
          <w:rFonts w:ascii="Arial" w:hAnsi="Arial" w:cs="Arial"/>
          <w:sz w:val="24"/>
        </w:rPr>
        <w:t xml:space="preserve"> combined with ISCO?</w:t>
      </w:r>
    </w:p>
    <w:p w14:paraId="08774FAB" w14:textId="6941167E" w:rsidR="00863CA0" w:rsidRDefault="001A6A8C" w:rsidP="00863CA0">
      <w:pPr>
        <w:pStyle w:val="NoSpacing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ioremediation</w:t>
      </w:r>
      <w:r>
        <w:rPr>
          <w:rFonts w:ascii="Arial" w:hAnsi="Arial" w:cs="Arial"/>
          <w:sz w:val="24"/>
        </w:rPr>
        <w:t>?</w:t>
      </w:r>
    </w:p>
    <w:p w14:paraId="0108D86A" w14:textId="77777777" w:rsidR="001A6A8C" w:rsidRDefault="001A6A8C" w:rsidP="001A6A8C">
      <w:pPr>
        <w:pStyle w:val="NoSpacing"/>
        <w:ind w:left="2160"/>
        <w:rPr>
          <w:rFonts w:ascii="Arial" w:hAnsi="Arial" w:cs="Arial"/>
          <w:sz w:val="24"/>
        </w:rPr>
      </w:pPr>
    </w:p>
    <w:p w14:paraId="6437FFB4" w14:textId="698E95DE" w:rsidR="00A61E58" w:rsidRDefault="00863CA0" w:rsidP="00863CA0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Creation of a 2021 </w:t>
      </w:r>
      <w:r w:rsidR="001A6A8C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lume </w:t>
      </w:r>
      <w:r w:rsidR="001A6A8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ap </w:t>
      </w:r>
    </w:p>
    <w:p w14:paraId="53597927" w14:textId="77777777" w:rsidR="00863CA0" w:rsidRDefault="00863CA0" w:rsidP="00863CA0">
      <w:pPr>
        <w:pStyle w:val="NoSpacing"/>
        <w:rPr>
          <w:rFonts w:ascii="Arial" w:hAnsi="Arial" w:cs="Arial"/>
          <w:sz w:val="24"/>
        </w:rPr>
      </w:pPr>
    </w:p>
    <w:p w14:paraId="2A89A210" w14:textId="77777777" w:rsidR="00A61E58" w:rsidRDefault="00A61E58" w:rsidP="004F2E22">
      <w:pPr>
        <w:pStyle w:val="NoSpacing"/>
        <w:rPr>
          <w:rFonts w:ascii="Arial" w:hAnsi="Arial" w:cs="Arial"/>
          <w:sz w:val="24"/>
        </w:rPr>
      </w:pPr>
    </w:p>
    <w:p w14:paraId="7D1B11EE" w14:textId="77777777" w:rsidR="00787361" w:rsidRPr="004F2E22" w:rsidRDefault="00787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87361" w:rsidRPr="004F2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8B7F" w14:textId="77777777" w:rsidR="001E4870" w:rsidRDefault="001E4870" w:rsidP="00A61E58">
      <w:pPr>
        <w:spacing w:after="0" w:line="240" w:lineRule="auto"/>
      </w:pPr>
      <w:r>
        <w:separator/>
      </w:r>
    </w:p>
  </w:endnote>
  <w:endnote w:type="continuationSeparator" w:id="0">
    <w:p w14:paraId="04DC2FF2" w14:textId="77777777" w:rsidR="001E4870" w:rsidRDefault="001E4870" w:rsidP="00A6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9EAC" w14:textId="77777777" w:rsidR="001E4870" w:rsidRDefault="001E4870" w:rsidP="00A61E58">
      <w:pPr>
        <w:spacing w:after="0" w:line="240" w:lineRule="auto"/>
      </w:pPr>
      <w:r>
        <w:separator/>
      </w:r>
    </w:p>
  </w:footnote>
  <w:footnote w:type="continuationSeparator" w:id="0">
    <w:p w14:paraId="04571EF6" w14:textId="77777777" w:rsidR="001E4870" w:rsidRDefault="001E4870" w:rsidP="00A6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6156" w14:textId="77777777" w:rsidR="00A61E58" w:rsidRPr="00A61E58" w:rsidRDefault="00A61E58">
    <w:pPr>
      <w:pStyle w:val="Header"/>
      <w:rPr>
        <w:rFonts w:ascii="Arial" w:hAnsi="Arial" w:cs="Arial"/>
        <w:sz w:val="24"/>
        <w:szCs w:val="24"/>
      </w:rPr>
    </w:pPr>
    <w:r w:rsidRPr="00A61E58">
      <w:rPr>
        <w:rFonts w:ascii="Arial" w:hAnsi="Arial" w:cs="Arial"/>
        <w:sz w:val="24"/>
        <w:szCs w:val="24"/>
      </w:rPr>
      <w:t>633045 – Northeast Alloys, 2145 Dwyer Avenue, Utica (C), Oneida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BA9"/>
    <w:multiLevelType w:val="hybridMultilevel"/>
    <w:tmpl w:val="9FB8E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07404D"/>
    <w:multiLevelType w:val="hybridMultilevel"/>
    <w:tmpl w:val="FC9CB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6626"/>
    <w:multiLevelType w:val="hybridMultilevel"/>
    <w:tmpl w:val="F9B2D0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43948"/>
    <w:multiLevelType w:val="hybridMultilevel"/>
    <w:tmpl w:val="2996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22"/>
    <w:rsid w:val="001A6A8C"/>
    <w:rsid w:val="001E4870"/>
    <w:rsid w:val="00355A57"/>
    <w:rsid w:val="0049261E"/>
    <w:rsid w:val="004F2E22"/>
    <w:rsid w:val="00606776"/>
    <w:rsid w:val="00787361"/>
    <w:rsid w:val="00863CA0"/>
    <w:rsid w:val="00897A6F"/>
    <w:rsid w:val="00A61E58"/>
    <w:rsid w:val="00C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AFF9"/>
  <w15:chartTrackingRefBased/>
  <w15:docId w15:val="{8D10AB5B-7C2F-4E98-9160-7724920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58"/>
  </w:style>
  <w:style w:type="paragraph" w:styleId="Footer">
    <w:name w:val="footer"/>
    <w:basedOn w:val="Normal"/>
    <w:link w:val="FooterChar"/>
    <w:uiPriority w:val="99"/>
    <w:unhideWhenUsed/>
    <w:rsid w:val="00A6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58"/>
  </w:style>
  <w:style w:type="paragraph" w:styleId="BalloonText">
    <w:name w:val="Balloon Text"/>
    <w:basedOn w:val="Normal"/>
    <w:link w:val="BalloonTextChar"/>
    <w:uiPriority w:val="99"/>
    <w:semiHidden/>
    <w:unhideWhenUsed/>
    <w:rsid w:val="0089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7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Rachel K (DEC)</dc:creator>
  <cp:keywords/>
  <dc:description/>
  <cp:lastModifiedBy>Gardner, Rachel K (DEC)</cp:lastModifiedBy>
  <cp:revision>2</cp:revision>
  <cp:lastPrinted>2020-12-10T13:39:00Z</cp:lastPrinted>
  <dcterms:created xsi:type="dcterms:W3CDTF">2020-12-10T18:59:00Z</dcterms:created>
  <dcterms:modified xsi:type="dcterms:W3CDTF">2020-12-10T18:59:00Z</dcterms:modified>
</cp:coreProperties>
</file>